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4445</wp:posOffset>
            </wp:positionH>
            <wp:positionV relativeFrom="page">
              <wp:posOffset>723900</wp:posOffset>
            </wp:positionV>
            <wp:extent cx="2542540" cy="221932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eastAsiaTheme="minorHAns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У меня в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с</w:t>
      </w:r>
      <w:r>
        <w:rPr>
          <w:b/>
          <w:sz w:val="28"/>
          <w:szCs w:val="28"/>
          <w:lang w:val="ru-RU"/>
        </w:rPr>
        <w:t>обственн</w:t>
      </w: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сти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имеется земельный участок, могу ли я использовать его не по целевому назначению?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вопрос отвечает прокурор района Анатолий Завалишин.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земельные участки Российской Федерации по целевому назначению подразделяются на следующие категории: земли сельскохозяйственного назначения, земли населенных пунктов, земли промышленности, энергетики, транспорта, связи, радиовещания, телевидения, информатики, земли для обеспечения  космической деятельности, земли обороны, безопасности и земли иного специального назначения, земли особо охраняемых территорий и объектов, земли лесного фонда, земли водного фонда, земли запаса..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42 Земельного кодекса Российской Федерации собственники земельных участков и лица, не являющиеся собственниками земельных участков, обязаны, в том числе, использовать земельные участки в соответствии с их целевым назначением и разрешённым использованием способами, которые не должны наносить вред окружающей среде, в том числе земле как природному объекту.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Предусмотрена ли ответственность за использование земель не по назначению?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статьей 8.8 КоАП РФ предусмотрена административная ответственность за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Какие еще меры могут последовать, если использовать земли не в соответствии с целевым назначением?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285 Гражданского кодекса Российской Федерации предусмотрено изъятие земельного участка, используемого с нарушением законодательства Российской Федерации.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15.06.2025</w:t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</w:r>
    </w:p>
    <w:p>
      <w:pPr>
        <w:pStyle w:val="Normal"/>
        <w:rPr>
          <w:rFonts w:eastAsia="Calibri" w:eastAsiaTheme="minorHAnsi"/>
          <w:sz w:val="20"/>
          <w:szCs w:val="20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3"/>
      <w:type w:val="nextPage"/>
      <w:pgSz w:w="11906" w:h="16838"/>
      <w:pgMar w:left="1418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3981443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422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6357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06357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160d49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6b4c28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fc4f9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fc4f9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950bd0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06357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06357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rong">
    <w:name w:val="Strong"/>
    <w:basedOn w:val="DefaultParagraphFont"/>
    <w:uiPriority w:val="22"/>
    <w:qFormat/>
    <w:rsid w:val="0083561f"/>
    <w:rPr>
      <w:b/>
      <w:bCs/>
    </w:rPr>
  </w:style>
  <w:style w:type="character" w:styleId="Hl" w:customStyle="1">
    <w:name w:val="hl"/>
    <w:basedOn w:val="DefaultParagraphFont"/>
    <w:qFormat/>
    <w:rsid w:val="0083561f"/>
    <w:rPr/>
  </w:style>
  <w:style w:type="character" w:styleId="Blk" w:customStyle="1">
    <w:name w:val="blk"/>
    <w:basedOn w:val="DefaultParagraphFont"/>
    <w:qFormat/>
    <w:rsid w:val="0083561f"/>
    <w:rPr/>
  </w:style>
  <w:style w:type="character" w:styleId="Style15">
    <w:name w:val="Выделение"/>
    <w:basedOn w:val="DefaultParagraphFont"/>
    <w:uiPriority w:val="20"/>
    <w:qFormat/>
    <w:rsid w:val="00b11dbf"/>
    <w:rPr>
      <w:i/>
      <w:iCs/>
    </w:rPr>
  </w:style>
  <w:style w:type="character" w:styleId="31" w:customStyle="1">
    <w:name w:val="Заголовок 3 Знак"/>
    <w:basedOn w:val="DefaultParagraphFont"/>
    <w:uiPriority w:val="9"/>
    <w:qFormat/>
    <w:rsid w:val="00160d4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3f764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aa624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6b4c28"/>
    <w:pPr/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fc4f9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3"/>
    <w:uiPriority w:val="99"/>
    <w:unhideWhenUsed/>
    <w:rsid w:val="00fc4f9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7f60fe"/>
    <w:pPr>
      <w:spacing w:beforeAutospacing="1" w:afterAutospacing="1"/>
    </w:pPr>
    <w:rPr/>
  </w:style>
  <w:style w:type="paragraph" w:styleId="NoSpacing">
    <w:name w:val="No Spacing"/>
    <w:uiPriority w:val="1"/>
    <w:qFormat/>
    <w:rsid w:val="0006357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lack" w:customStyle="1">
    <w:name w:val="black"/>
    <w:basedOn w:val="Normal"/>
    <w:qFormat/>
    <w:rsid w:val="006f6a36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b91a02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LibreOffice/7.3.4.2$Windows_X86_64 LibreOffice_project/728fec16bd5f605073805c3c9e7c4212a0120dc5</Application>
  <AppVersion>15.0000</AppVersion>
  <Pages>2</Pages>
  <Words>193</Words>
  <Characters>1408</Characters>
  <CharactersWithSpaces>1593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2025-06-15T12:06:00Z</dcterms:created>
  <dc:creator>user186001</dc:creator>
  <dc:description/>
  <dc:language>ru-RU</dc:language>
  <cp:lastModifiedBy/>
  <cp:lastPrinted>2025-06-15T22:44:53Z</cp:lastPrinted>
  <dcterms:modified xsi:type="dcterms:W3CDTF">2025-06-15T22:45:38Z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