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ПРЕСС-РЕЛИЗ</w:t>
      </w:r>
    </w:p>
    <w:p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11 мая 2018г</w:t>
      </w:r>
      <w:bookmarkStart w:id="0" w:name="_GoBack"/>
      <w:bookmarkEnd w:id="0"/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76" w:lineRule="auto"/>
        <w:ind w:firstLine="708"/>
        <w:jc w:val="center"/>
        <w:rPr>
          <w:rFonts w:ascii="Segoe UI" w:hAnsi="Segoe UI" w:cs="Segoe UI"/>
          <w:b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sz w:val="28"/>
          <w:szCs w:val="28"/>
          <w:shd w:val="clear" w:color="auto" w:fill="FFFFFF"/>
        </w:rPr>
        <w:t>Приоритетом для арбитражного управляющего должна быть выплата зарплаты работникам должника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ab/>
        <w:t xml:space="preserve">Тема соблюдения прав граждан в сфере трудового законодательства рассматривается Управлением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Самарской области при реализации контрольных и надзорных полномочий за саморегулируемыми организациями арбитражных управляющих.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На заседании коллегии прокуратуры Самарской области, посвященному состоянию законности и практике прокурорского надзора за исполнением трудового законодательства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Геннадиевна Суздальцева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рассказала: «Случаи, когда арбитражные управляющие сознательно идут на нарушения, связанные с выплатой заработной платы, крайне редки. </w:t>
      </w:r>
      <w:r>
        <w:rPr>
          <w:rFonts w:ascii="Segoe UI" w:hAnsi="Segoe UI" w:cs="Segoe UI"/>
          <w:sz w:val="24"/>
          <w:szCs w:val="24"/>
        </w:rPr>
        <w:t>За 2017 - 2018 годы мы рассмотрели порядка 50 процедур банкротства и выявили всего 4 нарушения, связанные с задолженностью по заработной плате. Арбитражные управляющие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знают, что к каждой процедуре банкротства, где имеются непогашенные требования по заработной плате, приковано пристальное внимание органов прокуратуры и Управления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, и допущенные ими нарушения не останутся безнаказанными».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Она также обратила внимание, что в условиях банкротства арбитражный управляющий не всегда располагает полной информацией об имеющейся задолженности. Работникам должника необходимо довести до сведения арбитражного управляющего информацию о наличии задолженности перед ними, подтвердив это, например, заказными письмами с описью вложения, отправлениями с электронной почты с уведомлениями о прочтении, вручением под роспись. В дальнейшем необходимо выяснить результат рассмотрения их требований – включены ли они в реестр, в какую очередь, в какой сумме. Если </w:t>
      </w:r>
      <w:r>
        <w:rPr>
          <w:rFonts w:ascii="Segoe UI" w:hAnsi="Segoe UI" w:cs="Segoe UI"/>
          <w:sz w:val="24"/>
          <w:szCs w:val="24"/>
        </w:rPr>
        <w:lastRenderedPageBreak/>
        <w:t>требования работников должника не были приняты, им необходимо обращаться в суд.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</w:p>
    <w:p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(846) 33-22-555, </w:t>
      </w:r>
    </w:p>
    <w:p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43D9-58C7-40DD-BB5C-632EB7D9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38</cp:revision>
  <cp:lastPrinted>2018-05-10T10:51:00Z</cp:lastPrinted>
  <dcterms:created xsi:type="dcterms:W3CDTF">2018-05-10T09:47:00Z</dcterms:created>
  <dcterms:modified xsi:type="dcterms:W3CDTF">2018-05-10T12:18:00Z</dcterms:modified>
</cp:coreProperties>
</file>